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760671" w:rsidRPr="00760671" w:rsidTr="00760671">
        <w:tc>
          <w:tcPr>
            <w:tcW w:w="5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noProof/>
                <w:sz w:val="24"/>
                <w:szCs w:val="24"/>
                <w:lang w:eastAsia="uk-UA"/>
              </w:rPr>
              <w:drawing>
                <wp:inline distT="0" distB="0" distL="0" distR="0" wp14:anchorId="018B2E2B" wp14:editId="05429B18">
                  <wp:extent cx="571500" cy="762000"/>
                  <wp:effectExtent l="0" t="0" r="0" b="0"/>
                  <wp:docPr id="9" name="Рисунок 9"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60671" w:rsidRPr="00760671" w:rsidTr="00760671">
        <w:tc>
          <w:tcPr>
            <w:tcW w:w="5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760671">
              <w:rPr>
                <w:rFonts w:ascii="Times New Roman" w:eastAsia="Times New Roman" w:hAnsi="Times New Roman" w:cs="Times New Roman"/>
                <w:sz w:val="24"/>
                <w:szCs w:val="24"/>
                <w:lang w:eastAsia="uk-UA"/>
              </w:rPr>
              <w:t> </w:t>
            </w:r>
            <w:r w:rsidRPr="00760671">
              <w:rPr>
                <w:rFonts w:ascii="Times New Roman" w:eastAsia="Times New Roman" w:hAnsi="Times New Roman" w:cs="Times New Roman"/>
                <w:sz w:val="24"/>
                <w:szCs w:val="24"/>
                <w:lang w:eastAsia="uk-UA"/>
              </w:rPr>
              <w:br/>
            </w:r>
            <w:r w:rsidRPr="00760671">
              <w:rPr>
                <w:rFonts w:ascii="Times New Roman" w:eastAsia="Times New Roman" w:hAnsi="Times New Roman" w:cs="Times New Roman"/>
                <w:b/>
                <w:bCs/>
                <w:color w:val="000000"/>
                <w:sz w:val="36"/>
                <w:szCs w:val="36"/>
                <w:bdr w:val="none" w:sz="0" w:space="0" w:color="auto" w:frame="1"/>
                <w:lang w:eastAsia="uk-UA"/>
              </w:rPr>
              <w:t>ПОСТАНОВА</w:t>
            </w:r>
          </w:p>
        </w:tc>
      </w:tr>
      <w:tr w:rsidR="00760671" w:rsidRPr="00760671" w:rsidTr="00760671">
        <w:tc>
          <w:tcPr>
            <w:tcW w:w="5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b/>
                <w:bCs/>
                <w:color w:val="000000"/>
                <w:sz w:val="24"/>
                <w:szCs w:val="24"/>
                <w:bdr w:val="none" w:sz="0" w:space="0" w:color="auto" w:frame="1"/>
                <w:lang w:eastAsia="uk-UA"/>
              </w:rPr>
              <w:t>від 13 червня 2018 р. № 477 </w:t>
            </w:r>
            <w:r w:rsidRPr="00760671">
              <w:rPr>
                <w:rFonts w:ascii="Times New Roman" w:eastAsia="Times New Roman" w:hAnsi="Times New Roman" w:cs="Times New Roman"/>
                <w:sz w:val="24"/>
                <w:szCs w:val="24"/>
                <w:lang w:eastAsia="uk-UA"/>
              </w:rPr>
              <w:br/>
            </w:r>
            <w:r w:rsidRPr="00760671">
              <w:rPr>
                <w:rFonts w:ascii="Times New Roman" w:eastAsia="Times New Roman" w:hAnsi="Times New Roman" w:cs="Times New Roman"/>
                <w:b/>
                <w:bCs/>
                <w:color w:val="000000"/>
                <w:sz w:val="24"/>
                <w:szCs w:val="24"/>
                <w:bdr w:val="none" w:sz="0" w:space="0" w:color="auto" w:frame="1"/>
                <w:lang w:eastAsia="uk-UA"/>
              </w:rPr>
              <w:t>Київ</w:t>
            </w:r>
          </w:p>
        </w:tc>
      </w:tr>
    </w:tbl>
    <w:p w:rsidR="00760671" w:rsidRPr="00760671" w:rsidRDefault="00760671" w:rsidP="007606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Start w:id="1" w:name="_GoBack"/>
      <w:bookmarkEnd w:id="0"/>
      <w:r w:rsidRPr="00760671">
        <w:rPr>
          <w:rFonts w:ascii="Times New Roman" w:eastAsia="Times New Roman" w:hAnsi="Times New Roman" w:cs="Times New Roman"/>
          <w:b/>
          <w:bCs/>
          <w:color w:val="000000"/>
          <w:sz w:val="32"/>
          <w:szCs w:val="32"/>
          <w:bdr w:val="none" w:sz="0" w:space="0" w:color="auto" w:frame="1"/>
          <w:lang w:eastAsia="uk-UA"/>
        </w:rPr>
        <w:t>Про затвердження Порядку перерахування виконавцем комунальної послуги оператору зовнішніх інженерних мереж сплачених споживачами комунальних послуг та власниками (співвласниками) приміщень, обладнаних індивідуальними системами опалення та/або гарячого водопостачання, внесків за встановлення вузлів комерційного обліку</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4"/>
      <w:bookmarkEnd w:id="2"/>
      <w:bookmarkEnd w:id="1"/>
      <w:r w:rsidRPr="00760671">
        <w:rPr>
          <w:rFonts w:ascii="Times New Roman" w:eastAsia="Times New Roman" w:hAnsi="Times New Roman" w:cs="Times New Roman"/>
          <w:color w:val="000000"/>
          <w:sz w:val="24"/>
          <w:szCs w:val="24"/>
          <w:lang w:eastAsia="uk-UA"/>
        </w:rPr>
        <w:t>Відповідно до </w:t>
      </w:r>
      <w:hyperlink r:id="rId5" w:anchor="n37" w:tgtFrame="_blank" w:history="1">
        <w:r w:rsidRPr="00760671">
          <w:rPr>
            <w:rFonts w:ascii="Times New Roman" w:eastAsia="Times New Roman" w:hAnsi="Times New Roman" w:cs="Times New Roman"/>
            <w:color w:val="000099"/>
            <w:sz w:val="24"/>
            <w:szCs w:val="24"/>
            <w:u w:val="single"/>
            <w:bdr w:val="none" w:sz="0" w:space="0" w:color="auto" w:frame="1"/>
            <w:lang w:eastAsia="uk-UA"/>
          </w:rPr>
          <w:t>статті 3</w:t>
        </w:r>
      </w:hyperlink>
      <w:r w:rsidRPr="00760671">
        <w:rPr>
          <w:rFonts w:ascii="Times New Roman" w:eastAsia="Times New Roman" w:hAnsi="Times New Roman" w:cs="Times New Roman"/>
          <w:color w:val="000000"/>
          <w:sz w:val="24"/>
          <w:szCs w:val="24"/>
          <w:lang w:eastAsia="uk-UA"/>
        </w:rPr>
        <w:t> Закону України “Про комерційний облік теплової енергії та водопостачання” Кабінет Міністрів України </w:t>
      </w:r>
      <w:r w:rsidRPr="00760671">
        <w:rPr>
          <w:rFonts w:ascii="Times New Roman" w:eastAsia="Times New Roman" w:hAnsi="Times New Roman" w:cs="Times New Roman"/>
          <w:b/>
          <w:bCs/>
          <w:color w:val="000000"/>
          <w:spacing w:val="30"/>
          <w:sz w:val="24"/>
          <w:szCs w:val="24"/>
          <w:bdr w:val="none" w:sz="0" w:space="0" w:color="auto" w:frame="1"/>
          <w:lang w:eastAsia="uk-UA"/>
        </w:rPr>
        <w:t>постановляє</w:t>
      </w:r>
      <w:r w:rsidRPr="00760671">
        <w:rPr>
          <w:rFonts w:ascii="Times New Roman" w:eastAsia="Times New Roman" w:hAnsi="Times New Roman" w:cs="Times New Roman"/>
          <w:color w:val="000000"/>
          <w:sz w:val="24"/>
          <w:szCs w:val="24"/>
          <w:lang w:eastAsia="uk-UA"/>
        </w:rPr>
        <w:t>:</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5"/>
      <w:bookmarkEnd w:id="3"/>
      <w:r w:rsidRPr="00760671">
        <w:rPr>
          <w:rFonts w:ascii="Times New Roman" w:eastAsia="Times New Roman" w:hAnsi="Times New Roman" w:cs="Times New Roman"/>
          <w:color w:val="000000"/>
          <w:sz w:val="24"/>
          <w:szCs w:val="24"/>
          <w:lang w:eastAsia="uk-UA"/>
        </w:rPr>
        <w:t>1. Затвердити </w:t>
      </w:r>
      <w:hyperlink r:id="rId6" w:anchor="n12" w:history="1">
        <w:r w:rsidRPr="00760671">
          <w:rPr>
            <w:rFonts w:ascii="Times New Roman" w:eastAsia="Times New Roman" w:hAnsi="Times New Roman" w:cs="Times New Roman"/>
            <w:color w:val="006600"/>
            <w:sz w:val="24"/>
            <w:szCs w:val="24"/>
            <w:u w:val="single"/>
            <w:bdr w:val="none" w:sz="0" w:space="0" w:color="auto" w:frame="1"/>
            <w:lang w:eastAsia="uk-UA"/>
          </w:rPr>
          <w:t>Порядок перерахування виконавцем комунальної послуги оператору зовнішніх інженерних мереж сплачених споживачами комунальних послуг та власниками (співвласниками) приміщень, обладнаних індивідуальними системами опалення та/або гарячого водопостачання, внесків за встановлення вузлів комерційного обліку</w:t>
        </w:r>
      </w:hyperlink>
      <w:r w:rsidRPr="00760671">
        <w:rPr>
          <w:rFonts w:ascii="Times New Roman" w:eastAsia="Times New Roman" w:hAnsi="Times New Roman" w:cs="Times New Roman"/>
          <w:color w:val="000000"/>
          <w:sz w:val="24"/>
          <w:szCs w:val="24"/>
          <w:lang w:eastAsia="uk-UA"/>
        </w:rPr>
        <w:t>, що додається.</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6"/>
      <w:bookmarkEnd w:id="4"/>
      <w:r w:rsidRPr="00760671">
        <w:rPr>
          <w:rFonts w:ascii="Times New Roman" w:eastAsia="Times New Roman" w:hAnsi="Times New Roman" w:cs="Times New Roman"/>
          <w:color w:val="000000"/>
          <w:sz w:val="24"/>
          <w:szCs w:val="24"/>
          <w:lang w:eastAsia="uk-UA"/>
        </w:rPr>
        <w:t xml:space="preserve">2. </w:t>
      </w:r>
      <w:proofErr w:type="spellStart"/>
      <w:r w:rsidRPr="00760671">
        <w:rPr>
          <w:rFonts w:ascii="Times New Roman" w:eastAsia="Times New Roman" w:hAnsi="Times New Roman" w:cs="Times New Roman"/>
          <w:color w:val="000000"/>
          <w:sz w:val="24"/>
          <w:szCs w:val="24"/>
          <w:lang w:eastAsia="uk-UA"/>
        </w:rPr>
        <w:t>Внести</w:t>
      </w:r>
      <w:proofErr w:type="spellEnd"/>
      <w:r w:rsidRPr="00760671">
        <w:rPr>
          <w:rFonts w:ascii="Times New Roman" w:eastAsia="Times New Roman" w:hAnsi="Times New Roman" w:cs="Times New Roman"/>
          <w:color w:val="000000"/>
          <w:sz w:val="24"/>
          <w:szCs w:val="24"/>
          <w:lang w:eastAsia="uk-UA"/>
        </w:rPr>
        <w:t xml:space="preserve"> до </w:t>
      </w:r>
      <w:hyperlink r:id="rId7" w:tgtFrame="_blank" w:history="1">
        <w:r w:rsidRPr="00760671">
          <w:rPr>
            <w:rFonts w:ascii="Times New Roman" w:eastAsia="Times New Roman" w:hAnsi="Times New Roman" w:cs="Times New Roman"/>
            <w:color w:val="000099"/>
            <w:sz w:val="24"/>
            <w:szCs w:val="24"/>
            <w:u w:val="single"/>
            <w:bdr w:val="none" w:sz="0" w:space="0" w:color="auto" w:frame="1"/>
            <w:lang w:eastAsia="uk-UA"/>
          </w:rPr>
          <w:t>постанови Кабінету Міністрів України від 1 червня 2011 р. № 869</w:t>
        </w:r>
      </w:hyperlink>
      <w:r w:rsidRPr="00760671">
        <w:rPr>
          <w:rFonts w:ascii="Times New Roman" w:eastAsia="Times New Roman" w:hAnsi="Times New Roman" w:cs="Times New Roman"/>
          <w:color w:val="000000"/>
          <w:sz w:val="24"/>
          <w:szCs w:val="24"/>
          <w:lang w:eastAsia="uk-UA"/>
        </w:rPr>
        <w:t> “Про забезпечення єдиного підходу до формування тарифів на житлово-комунальні послуги” (Офіційний вісник України, 2011 р., № 62, ст. 2472; 2014 р., № 84, ст. 2373; 2017 р., № 88, ст. 2683) </w:t>
      </w:r>
      <w:hyperlink r:id="rId8" w:anchor="n32" w:history="1">
        <w:r w:rsidRPr="00760671">
          <w:rPr>
            <w:rFonts w:ascii="Times New Roman" w:eastAsia="Times New Roman" w:hAnsi="Times New Roman" w:cs="Times New Roman"/>
            <w:color w:val="006600"/>
            <w:sz w:val="24"/>
            <w:szCs w:val="24"/>
            <w:u w:val="single"/>
            <w:bdr w:val="none" w:sz="0" w:space="0" w:color="auto" w:frame="1"/>
            <w:lang w:eastAsia="uk-UA"/>
          </w:rPr>
          <w:t>зміни</w:t>
        </w:r>
      </w:hyperlink>
      <w:r w:rsidRPr="00760671">
        <w:rPr>
          <w:rFonts w:ascii="Times New Roman" w:eastAsia="Times New Roman" w:hAnsi="Times New Roman" w:cs="Times New Roman"/>
          <w:color w:val="000000"/>
          <w:sz w:val="24"/>
          <w:szCs w:val="24"/>
          <w:lang w:eastAsia="uk-UA"/>
        </w:rPr>
        <w:t>, що додаються.</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7"/>
      <w:bookmarkEnd w:id="5"/>
      <w:r w:rsidRPr="00760671">
        <w:rPr>
          <w:rFonts w:ascii="Times New Roman" w:eastAsia="Times New Roman" w:hAnsi="Times New Roman" w:cs="Times New Roman"/>
          <w:color w:val="000000"/>
          <w:sz w:val="24"/>
          <w:szCs w:val="24"/>
          <w:lang w:eastAsia="uk-UA"/>
        </w:rPr>
        <w:t>3. Рекомендувати виконавцю комунальної послуги, який не є оператором зовнішніх інженерних мереж, враховувати положення </w:t>
      </w:r>
      <w:hyperlink r:id="rId9" w:anchor="n28" w:history="1">
        <w:r w:rsidRPr="00760671">
          <w:rPr>
            <w:rFonts w:ascii="Times New Roman" w:eastAsia="Times New Roman" w:hAnsi="Times New Roman" w:cs="Times New Roman"/>
            <w:color w:val="006600"/>
            <w:sz w:val="24"/>
            <w:szCs w:val="24"/>
            <w:u w:val="single"/>
            <w:bdr w:val="none" w:sz="0" w:space="0" w:color="auto" w:frame="1"/>
            <w:lang w:eastAsia="uk-UA"/>
          </w:rPr>
          <w:t>Примірного договору</w:t>
        </w:r>
      </w:hyperlink>
      <w:r w:rsidRPr="00760671">
        <w:rPr>
          <w:rFonts w:ascii="Times New Roman" w:eastAsia="Times New Roman" w:hAnsi="Times New Roman" w:cs="Times New Roman"/>
          <w:color w:val="000000"/>
          <w:sz w:val="24"/>
          <w:szCs w:val="24"/>
          <w:lang w:eastAsia="uk-UA"/>
        </w:rPr>
        <w:t>, передбаченого додатком до Порядку, затвердженого цією постановою, під час укладання договорів про перерахування внесків за обслуговування та заміну вузлів комерційного обліку, сплачених споживачами комунальних послуг та власниками (співвласниками) приміщень, обладнаних індивідуальними системами опалення та/або гарячого водопостачання.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3"/>
      </w:tblGrid>
      <w:tr w:rsidR="00760671" w:rsidRPr="00760671" w:rsidTr="00760671">
        <w:tc>
          <w:tcPr>
            <w:tcW w:w="15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jc w:val="center"/>
              <w:textAlignment w:val="baseline"/>
              <w:rPr>
                <w:rFonts w:ascii="Times New Roman" w:eastAsia="Times New Roman" w:hAnsi="Times New Roman" w:cs="Times New Roman"/>
                <w:sz w:val="24"/>
                <w:szCs w:val="24"/>
                <w:lang w:eastAsia="uk-UA"/>
              </w:rPr>
            </w:pPr>
            <w:bookmarkStart w:id="6" w:name="n8"/>
            <w:bookmarkEnd w:id="6"/>
            <w:r w:rsidRPr="00760671">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jc w:val="right"/>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b/>
                <w:bCs/>
                <w:color w:val="000000"/>
                <w:sz w:val="24"/>
                <w:szCs w:val="24"/>
                <w:bdr w:val="none" w:sz="0" w:space="0" w:color="auto" w:frame="1"/>
                <w:lang w:eastAsia="uk-UA"/>
              </w:rPr>
              <w:t>В.ГРОЙСМАН</w:t>
            </w:r>
          </w:p>
        </w:tc>
      </w:tr>
      <w:tr w:rsidR="00760671" w:rsidRPr="00760671" w:rsidTr="00760671">
        <w:tc>
          <w:tcPr>
            <w:tcW w:w="0" w:type="auto"/>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jc w:val="center"/>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b/>
                <w:bCs/>
                <w:color w:val="000000"/>
                <w:sz w:val="24"/>
                <w:szCs w:val="24"/>
                <w:bdr w:val="none" w:sz="0" w:space="0" w:color="auto" w:frame="1"/>
                <w:lang w:eastAsia="uk-UA"/>
              </w:rPr>
              <w:t>Інд. 37</w:t>
            </w:r>
          </w:p>
        </w:tc>
        <w:tc>
          <w:tcPr>
            <w:tcW w:w="0" w:type="auto"/>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jc w:val="right"/>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b/>
                <w:bCs/>
                <w:color w:val="000000"/>
                <w:sz w:val="24"/>
                <w:szCs w:val="24"/>
                <w:bdr w:val="none" w:sz="0" w:space="0" w:color="auto" w:frame="1"/>
                <w:lang w:eastAsia="uk-UA"/>
              </w:rPr>
              <w:br/>
            </w:r>
          </w:p>
        </w:tc>
      </w:tr>
    </w:tbl>
    <w:p w:rsidR="00760671" w:rsidRPr="00760671" w:rsidRDefault="00760671" w:rsidP="00760671">
      <w:pPr>
        <w:spacing w:before="60" w:after="60" w:line="240" w:lineRule="auto"/>
        <w:rPr>
          <w:rFonts w:ascii="Times New Roman" w:eastAsia="Times New Roman" w:hAnsi="Times New Roman" w:cs="Times New Roman"/>
          <w:sz w:val="24"/>
          <w:szCs w:val="24"/>
          <w:lang w:eastAsia="uk-UA"/>
        </w:rPr>
      </w:pPr>
      <w:bookmarkStart w:id="7" w:name="n50"/>
      <w:bookmarkEnd w:id="7"/>
      <w:r w:rsidRPr="00760671">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3"/>
        <w:gridCol w:w="5780"/>
      </w:tblGrid>
      <w:tr w:rsidR="00760671" w:rsidRPr="00760671" w:rsidTr="00760671">
        <w:tc>
          <w:tcPr>
            <w:tcW w:w="2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textAlignment w:val="baseline"/>
              <w:rPr>
                <w:rFonts w:ascii="Times New Roman" w:eastAsia="Times New Roman" w:hAnsi="Times New Roman" w:cs="Times New Roman"/>
                <w:sz w:val="24"/>
                <w:szCs w:val="24"/>
                <w:lang w:eastAsia="uk-UA"/>
              </w:rPr>
            </w:pPr>
            <w:bookmarkStart w:id="8" w:name="n11"/>
            <w:bookmarkEnd w:id="8"/>
            <w:r w:rsidRPr="00760671">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jc w:val="center"/>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b/>
                <w:bCs/>
                <w:color w:val="000000"/>
                <w:sz w:val="24"/>
                <w:szCs w:val="24"/>
                <w:bdr w:val="none" w:sz="0" w:space="0" w:color="auto" w:frame="1"/>
                <w:lang w:eastAsia="uk-UA"/>
              </w:rPr>
              <w:t>ЗАТВЕРДЖЕНО </w:t>
            </w:r>
            <w:r w:rsidRPr="00760671">
              <w:rPr>
                <w:rFonts w:ascii="Times New Roman" w:eastAsia="Times New Roman" w:hAnsi="Times New Roman" w:cs="Times New Roman"/>
                <w:sz w:val="24"/>
                <w:szCs w:val="24"/>
                <w:lang w:eastAsia="uk-UA"/>
              </w:rPr>
              <w:br/>
            </w:r>
            <w:r w:rsidRPr="00760671">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 </w:t>
            </w:r>
            <w:r w:rsidRPr="00760671">
              <w:rPr>
                <w:rFonts w:ascii="Times New Roman" w:eastAsia="Times New Roman" w:hAnsi="Times New Roman" w:cs="Times New Roman"/>
                <w:sz w:val="24"/>
                <w:szCs w:val="24"/>
                <w:lang w:eastAsia="uk-UA"/>
              </w:rPr>
              <w:br/>
            </w:r>
            <w:r w:rsidRPr="00760671">
              <w:rPr>
                <w:rFonts w:ascii="Times New Roman" w:eastAsia="Times New Roman" w:hAnsi="Times New Roman" w:cs="Times New Roman"/>
                <w:b/>
                <w:bCs/>
                <w:color w:val="000000"/>
                <w:sz w:val="24"/>
                <w:szCs w:val="24"/>
                <w:bdr w:val="none" w:sz="0" w:space="0" w:color="auto" w:frame="1"/>
                <w:lang w:eastAsia="uk-UA"/>
              </w:rPr>
              <w:t>від 13 червня 2018 р. № 477</w:t>
            </w:r>
          </w:p>
        </w:tc>
      </w:tr>
    </w:tbl>
    <w:p w:rsidR="00760671" w:rsidRPr="00760671" w:rsidRDefault="00760671" w:rsidP="007606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9" w:name="n12"/>
      <w:bookmarkEnd w:id="9"/>
      <w:r w:rsidRPr="00760671">
        <w:rPr>
          <w:rFonts w:ascii="Times New Roman" w:eastAsia="Times New Roman" w:hAnsi="Times New Roman" w:cs="Times New Roman"/>
          <w:b/>
          <w:bCs/>
          <w:color w:val="000000"/>
          <w:sz w:val="32"/>
          <w:szCs w:val="32"/>
          <w:bdr w:val="none" w:sz="0" w:space="0" w:color="auto" w:frame="1"/>
          <w:lang w:eastAsia="uk-UA"/>
        </w:rPr>
        <w:t>ПОРЯДОК </w:t>
      </w:r>
      <w:r w:rsidRPr="00760671">
        <w:rPr>
          <w:rFonts w:ascii="Times New Roman" w:eastAsia="Times New Roman" w:hAnsi="Times New Roman" w:cs="Times New Roman"/>
          <w:color w:val="000000"/>
          <w:sz w:val="24"/>
          <w:szCs w:val="24"/>
          <w:lang w:eastAsia="uk-UA"/>
        </w:rPr>
        <w:br/>
      </w:r>
      <w:r w:rsidRPr="00760671">
        <w:rPr>
          <w:rFonts w:ascii="Times New Roman" w:eastAsia="Times New Roman" w:hAnsi="Times New Roman" w:cs="Times New Roman"/>
          <w:b/>
          <w:bCs/>
          <w:color w:val="000000"/>
          <w:sz w:val="32"/>
          <w:szCs w:val="32"/>
          <w:bdr w:val="none" w:sz="0" w:space="0" w:color="auto" w:frame="1"/>
          <w:lang w:eastAsia="uk-UA"/>
        </w:rPr>
        <w:t>перерахування виконавцем комунальної послуги оператору зовнішніх інженерних мереж сплачених споживачами комунальних послуг та власниками (співвласниками) приміщень, обладнаних індивідуальними системами опалення та/або гарячого водопостачання, внесків за встановлення вузлів комерційного обліку</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3"/>
      <w:bookmarkEnd w:id="10"/>
      <w:r w:rsidRPr="00760671">
        <w:rPr>
          <w:rFonts w:ascii="Times New Roman" w:eastAsia="Times New Roman" w:hAnsi="Times New Roman" w:cs="Times New Roman"/>
          <w:color w:val="000000"/>
          <w:sz w:val="24"/>
          <w:szCs w:val="24"/>
          <w:lang w:eastAsia="uk-UA"/>
        </w:rPr>
        <w:t xml:space="preserve">1. Цей Порядок визначає механізм перерахування виконавцем комунальної послуги, який не є оператором відповідних зовнішніх інженерних мереж, сплачених споживачами </w:t>
      </w:r>
      <w:r w:rsidRPr="00760671">
        <w:rPr>
          <w:rFonts w:ascii="Times New Roman" w:eastAsia="Times New Roman" w:hAnsi="Times New Roman" w:cs="Times New Roman"/>
          <w:color w:val="000000"/>
          <w:sz w:val="24"/>
          <w:szCs w:val="24"/>
          <w:lang w:eastAsia="uk-UA"/>
        </w:rPr>
        <w:lastRenderedPageBreak/>
        <w:t>комунальних послуг (далі - споживачі) та власниками (співвласниками) приміщень, обладнаних індивідуальними системами опалення та/або гарячого водопостачання (далі - власники (співвласники) приміщень), внесків за встановлення вузлів комерційного обліку (далі - внески) оператору зовнішніх інженерних мереж.</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4"/>
      <w:bookmarkEnd w:id="11"/>
      <w:r w:rsidRPr="00760671">
        <w:rPr>
          <w:rFonts w:ascii="Times New Roman" w:eastAsia="Times New Roman" w:hAnsi="Times New Roman" w:cs="Times New Roman"/>
          <w:color w:val="000000"/>
          <w:sz w:val="24"/>
          <w:szCs w:val="24"/>
          <w:lang w:eastAsia="uk-UA"/>
        </w:rPr>
        <w:t>2. Дія цього Порядку поширюється на виконавців комунальних послуг, які не є операторами відповідних зовнішніх інженерних мереж (далі - виконавці), а також на операторів зовнішніх інженерних мереж.</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5"/>
      <w:bookmarkEnd w:id="12"/>
      <w:r w:rsidRPr="00760671">
        <w:rPr>
          <w:rFonts w:ascii="Times New Roman" w:eastAsia="Times New Roman" w:hAnsi="Times New Roman" w:cs="Times New Roman"/>
          <w:color w:val="000000"/>
          <w:sz w:val="24"/>
          <w:szCs w:val="24"/>
          <w:lang w:eastAsia="uk-UA"/>
        </w:rPr>
        <w:t>3. У цьому Порядку терміни вживаються у значенні, наведеному в Законах України </w:t>
      </w:r>
      <w:hyperlink r:id="rId10"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“Про житлово-комунальні послуги”</w:t>
        </w:r>
      </w:hyperlink>
      <w:r w:rsidRPr="00760671">
        <w:rPr>
          <w:rFonts w:ascii="Times New Roman" w:eastAsia="Times New Roman" w:hAnsi="Times New Roman" w:cs="Times New Roman"/>
          <w:color w:val="000000"/>
          <w:sz w:val="24"/>
          <w:szCs w:val="24"/>
          <w:lang w:eastAsia="uk-UA"/>
        </w:rPr>
        <w:t> і </w:t>
      </w:r>
      <w:hyperlink r:id="rId11"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“Про комерційний облік теплової енергії та водопостачання”</w:t>
        </w:r>
      </w:hyperlink>
      <w:r w:rsidRPr="00760671">
        <w:rPr>
          <w:rFonts w:ascii="Times New Roman" w:eastAsia="Times New Roman" w:hAnsi="Times New Roman" w:cs="Times New Roman"/>
          <w:color w:val="000000"/>
          <w:sz w:val="24"/>
          <w:szCs w:val="24"/>
          <w:lang w:eastAsia="uk-UA"/>
        </w:rPr>
        <w:t>.</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6"/>
      <w:bookmarkEnd w:id="13"/>
      <w:r w:rsidRPr="00760671">
        <w:rPr>
          <w:rFonts w:ascii="Times New Roman" w:eastAsia="Times New Roman" w:hAnsi="Times New Roman" w:cs="Times New Roman"/>
          <w:color w:val="000000"/>
          <w:sz w:val="24"/>
          <w:szCs w:val="24"/>
          <w:lang w:eastAsia="uk-UA"/>
        </w:rPr>
        <w:t>4. Взаємовідносини між виконавцями та операторами зовнішніх інженерних мереж, зокрема в частині перерахування внесків, здійснюються виключно на договірних засадах.</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7"/>
      <w:bookmarkEnd w:id="14"/>
      <w:r w:rsidRPr="00760671">
        <w:rPr>
          <w:rFonts w:ascii="Times New Roman" w:eastAsia="Times New Roman" w:hAnsi="Times New Roman" w:cs="Times New Roman"/>
          <w:color w:val="000000"/>
          <w:sz w:val="24"/>
          <w:szCs w:val="24"/>
          <w:lang w:eastAsia="uk-UA"/>
        </w:rPr>
        <w:t>5. Договір про перерахування виконавцем оператору зовнішніх інженерних мереж внесків (далі - договір) оформляється відповідно до </w:t>
      </w:r>
      <w:hyperlink r:id="rId12" w:anchor="n28" w:history="1">
        <w:r w:rsidRPr="00760671">
          <w:rPr>
            <w:rFonts w:ascii="Times New Roman" w:eastAsia="Times New Roman" w:hAnsi="Times New Roman" w:cs="Times New Roman"/>
            <w:color w:val="006600"/>
            <w:sz w:val="24"/>
            <w:szCs w:val="24"/>
            <w:u w:val="single"/>
            <w:bdr w:val="none" w:sz="0" w:space="0" w:color="auto" w:frame="1"/>
            <w:lang w:eastAsia="uk-UA"/>
          </w:rPr>
          <w:t>Примірного договору</w:t>
        </w:r>
      </w:hyperlink>
      <w:r w:rsidRPr="00760671">
        <w:rPr>
          <w:rFonts w:ascii="Times New Roman" w:eastAsia="Times New Roman" w:hAnsi="Times New Roman" w:cs="Times New Roman"/>
          <w:color w:val="000000"/>
          <w:sz w:val="24"/>
          <w:szCs w:val="24"/>
          <w:lang w:eastAsia="uk-UA"/>
        </w:rPr>
        <w:t>, наведеного в додатку.</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8"/>
      <w:bookmarkEnd w:id="15"/>
      <w:r w:rsidRPr="00760671">
        <w:rPr>
          <w:rFonts w:ascii="Times New Roman" w:eastAsia="Times New Roman" w:hAnsi="Times New Roman" w:cs="Times New Roman"/>
          <w:color w:val="000000"/>
          <w:sz w:val="24"/>
          <w:szCs w:val="24"/>
          <w:lang w:eastAsia="uk-UA"/>
        </w:rPr>
        <w:t>6. Виконавець забезпечує зарахування внесків споживачів комунальних послуг та власників (співвласників) приміщень на окремий рахунок та перераховує внески на окремий рахунок оператора зовнішніх інженерних мереж, відкритий з метою отримання таких внесків.</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9"/>
      <w:bookmarkEnd w:id="16"/>
      <w:r w:rsidRPr="00760671">
        <w:rPr>
          <w:rFonts w:ascii="Times New Roman" w:eastAsia="Times New Roman" w:hAnsi="Times New Roman" w:cs="Times New Roman"/>
          <w:color w:val="000000"/>
          <w:sz w:val="24"/>
          <w:szCs w:val="24"/>
          <w:lang w:eastAsia="uk-UA"/>
        </w:rPr>
        <w:t>Оператор зовнішніх інженерних мереж відкриває для отримання внесків від кожного виконавця окремий рахунок.</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20"/>
      <w:bookmarkEnd w:id="17"/>
      <w:r w:rsidRPr="00760671">
        <w:rPr>
          <w:rFonts w:ascii="Times New Roman" w:eastAsia="Times New Roman" w:hAnsi="Times New Roman" w:cs="Times New Roman"/>
          <w:color w:val="000000"/>
          <w:sz w:val="24"/>
          <w:szCs w:val="24"/>
          <w:lang w:eastAsia="uk-UA"/>
        </w:rPr>
        <w:t>7. Виконавець веде облік сплачених внесків, що надійшли на його рахунок від споживачів та власників (співвласників) приміщень, окремо за кожною будівлею, а також облік внесків, перерахованих на рахунок оператора зовнішніх інженерних мереж у відповідному кварталі.</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1"/>
      <w:bookmarkEnd w:id="18"/>
      <w:r w:rsidRPr="00760671">
        <w:rPr>
          <w:rFonts w:ascii="Times New Roman" w:eastAsia="Times New Roman" w:hAnsi="Times New Roman" w:cs="Times New Roman"/>
          <w:color w:val="000000"/>
          <w:sz w:val="24"/>
          <w:szCs w:val="24"/>
          <w:lang w:eastAsia="uk-UA"/>
        </w:rPr>
        <w:t>8. Сплачені споживачами та власниками (співвласниками) приміщень внески перераховуються виконавцем оператору зовнішніх інженерних мереж не пізніше 5 числа місяця, що настає за розрахунковим кварталом, якщо договором між сторонами не встановлено інший строк.</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2"/>
      <w:bookmarkEnd w:id="19"/>
      <w:r w:rsidRPr="00760671">
        <w:rPr>
          <w:rFonts w:ascii="Times New Roman" w:eastAsia="Times New Roman" w:hAnsi="Times New Roman" w:cs="Times New Roman"/>
          <w:color w:val="000000"/>
          <w:sz w:val="24"/>
          <w:szCs w:val="24"/>
          <w:lang w:eastAsia="uk-UA"/>
        </w:rPr>
        <w:t>Розрахунковим кварталом, за який здійснюється перерахування внесків, є календарний квартал.</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3"/>
      <w:bookmarkEnd w:id="20"/>
      <w:r w:rsidRPr="00760671">
        <w:rPr>
          <w:rFonts w:ascii="Times New Roman" w:eastAsia="Times New Roman" w:hAnsi="Times New Roman" w:cs="Times New Roman"/>
          <w:color w:val="000000"/>
          <w:sz w:val="24"/>
          <w:szCs w:val="24"/>
          <w:lang w:eastAsia="uk-UA"/>
        </w:rPr>
        <w:t>9. Обсяг коштів, що перераховуються виконавцем оператору зовнішніх інженерних мереж відповідно до вимог цього Порядку, становить 100 відсотків загальної суми внесків, що надходять на рахунок виконавця від споживачів та власників (співвласників) приміщень.</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4"/>
      <w:bookmarkEnd w:id="21"/>
      <w:r w:rsidRPr="00760671">
        <w:rPr>
          <w:rFonts w:ascii="Times New Roman" w:eastAsia="Times New Roman" w:hAnsi="Times New Roman" w:cs="Times New Roman"/>
          <w:color w:val="000000"/>
          <w:sz w:val="24"/>
          <w:szCs w:val="24"/>
          <w:lang w:eastAsia="uk-UA"/>
        </w:rPr>
        <w:t>10. Виконавець та оператор зовнішніх інженерних мереж здійснюють звіряння обсягу внесків, отриманих виконавцем від споживачів та власників (співвласників) приміщень, і обсягу внесків, перерахованих виконавцем оператору зовнішніх інженерних мереж у відповідному періоді.</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5"/>
      <w:bookmarkEnd w:id="22"/>
      <w:r w:rsidRPr="00760671">
        <w:rPr>
          <w:rFonts w:ascii="Times New Roman" w:eastAsia="Times New Roman" w:hAnsi="Times New Roman" w:cs="Times New Roman"/>
          <w:color w:val="000000"/>
          <w:sz w:val="24"/>
          <w:szCs w:val="24"/>
          <w:lang w:eastAsia="uk-UA"/>
        </w:rPr>
        <w:t>Строк та період звіряння зазначених обсягів внесків обумовлюються у договорі.</w:t>
      </w:r>
    </w:p>
    <w:p w:rsidR="00760671" w:rsidRPr="00760671" w:rsidRDefault="00760671" w:rsidP="00760671">
      <w:pPr>
        <w:spacing w:before="60" w:after="60" w:line="240" w:lineRule="auto"/>
        <w:rPr>
          <w:rFonts w:ascii="Times New Roman" w:eastAsia="Times New Roman" w:hAnsi="Times New Roman" w:cs="Times New Roman"/>
          <w:sz w:val="24"/>
          <w:szCs w:val="24"/>
          <w:lang w:eastAsia="uk-UA"/>
        </w:rPr>
      </w:pPr>
      <w:bookmarkStart w:id="23" w:name="n51"/>
      <w:bookmarkEnd w:id="23"/>
      <w:r w:rsidRPr="00760671">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81"/>
        <w:gridCol w:w="5152"/>
      </w:tblGrid>
      <w:tr w:rsidR="00760671" w:rsidRPr="00760671" w:rsidTr="00760671">
        <w:tc>
          <w:tcPr>
            <w:tcW w:w="2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before="150" w:after="150" w:line="240" w:lineRule="auto"/>
              <w:textAlignment w:val="baseline"/>
              <w:rPr>
                <w:rFonts w:ascii="Times New Roman" w:eastAsia="Times New Roman" w:hAnsi="Times New Roman" w:cs="Times New Roman"/>
                <w:sz w:val="24"/>
                <w:szCs w:val="24"/>
                <w:lang w:eastAsia="uk-UA"/>
              </w:rPr>
            </w:pPr>
            <w:bookmarkStart w:id="24" w:name="n27"/>
            <w:bookmarkEnd w:id="24"/>
          </w:p>
        </w:tc>
        <w:tc>
          <w:tcPr>
            <w:tcW w:w="23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before="150" w:after="150" w:line="240" w:lineRule="auto"/>
              <w:jc w:val="center"/>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sz w:val="24"/>
                <w:szCs w:val="24"/>
                <w:lang w:eastAsia="uk-UA"/>
              </w:rPr>
              <w:t>Додаток </w:t>
            </w:r>
            <w:r w:rsidRPr="00760671">
              <w:rPr>
                <w:rFonts w:ascii="Times New Roman" w:eastAsia="Times New Roman" w:hAnsi="Times New Roman" w:cs="Times New Roman"/>
                <w:sz w:val="24"/>
                <w:szCs w:val="24"/>
                <w:lang w:eastAsia="uk-UA"/>
              </w:rPr>
              <w:br/>
              <w:t>до Порядку</w:t>
            </w:r>
          </w:p>
        </w:tc>
      </w:tr>
    </w:tbl>
    <w:bookmarkStart w:id="25" w:name="n28"/>
    <w:bookmarkEnd w:id="25"/>
    <w:p w:rsidR="00760671" w:rsidRPr="00760671" w:rsidRDefault="00760671" w:rsidP="007606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760671">
        <w:rPr>
          <w:rFonts w:ascii="Times New Roman" w:eastAsia="Times New Roman" w:hAnsi="Times New Roman" w:cs="Times New Roman"/>
          <w:color w:val="000000"/>
          <w:sz w:val="24"/>
          <w:szCs w:val="24"/>
          <w:lang w:eastAsia="uk-UA"/>
        </w:rPr>
        <w:fldChar w:fldCharType="begin"/>
      </w:r>
      <w:r w:rsidRPr="00760671">
        <w:rPr>
          <w:rFonts w:ascii="Times New Roman" w:eastAsia="Times New Roman" w:hAnsi="Times New Roman" w:cs="Times New Roman"/>
          <w:color w:val="000000"/>
          <w:sz w:val="24"/>
          <w:szCs w:val="24"/>
          <w:lang w:eastAsia="uk-UA"/>
        </w:rPr>
        <w:instrText xml:space="preserve"> HYPERLINK "http://zakon0.rada.gov.ua/laws/file/text/63/f475566n54.doc" </w:instrText>
      </w:r>
      <w:r w:rsidRPr="00760671">
        <w:rPr>
          <w:rFonts w:ascii="Times New Roman" w:eastAsia="Times New Roman" w:hAnsi="Times New Roman" w:cs="Times New Roman"/>
          <w:color w:val="000000"/>
          <w:sz w:val="24"/>
          <w:szCs w:val="24"/>
          <w:lang w:eastAsia="uk-UA"/>
        </w:rPr>
        <w:fldChar w:fldCharType="separate"/>
      </w:r>
      <w:r w:rsidRPr="00760671">
        <w:rPr>
          <w:rFonts w:ascii="Times New Roman" w:eastAsia="Times New Roman" w:hAnsi="Times New Roman" w:cs="Times New Roman"/>
          <w:b/>
          <w:bCs/>
          <w:color w:val="C00909"/>
          <w:sz w:val="28"/>
          <w:szCs w:val="28"/>
          <w:u w:val="single"/>
          <w:bdr w:val="none" w:sz="0" w:space="0" w:color="auto" w:frame="1"/>
          <w:lang w:eastAsia="uk-UA"/>
        </w:rPr>
        <w:t>ПРИМІРНИЙ ДОГОВІР</w:t>
      </w:r>
      <w:r w:rsidRPr="00760671">
        <w:rPr>
          <w:rFonts w:ascii="Times New Roman" w:eastAsia="Times New Roman" w:hAnsi="Times New Roman" w:cs="Times New Roman"/>
          <w:color w:val="000000"/>
          <w:sz w:val="24"/>
          <w:szCs w:val="24"/>
          <w:lang w:eastAsia="uk-UA"/>
        </w:rPr>
        <w:fldChar w:fldCharType="end"/>
      </w:r>
      <w:r w:rsidRPr="00760671">
        <w:rPr>
          <w:rFonts w:ascii="Times New Roman" w:eastAsia="Times New Roman" w:hAnsi="Times New Roman" w:cs="Times New Roman"/>
          <w:b/>
          <w:bCs/>
          <w:color w:val="000000"/>
          <w:sz w:val="28"/>
          <w:szCs w:val="28"/>
          <w:bdr w:val="none" w:sz="0" w:space="0" w:color="auto" w:frame="1"/>
          <w:lang w:eastAsia="uk-UA"/>
        </w:rPr>
        <w:t> </w:t>
      </w:r>
      <w:r w:rsidRPr="00760671">
        <w:rPr>
          <w:rFonts w:ascii="Times New Roman" w:eastAsia="Times New Roman" w:hAnsi="Times New Roman" w:cs="Times New Roman"/>
          <w:color w:val="000000"/>
          <w:sz w:val="24"/>
          <w:szCs w:val="24"/>
          <w:lang w:eastAsia="uk-UA"/>
        </w:rPr>
        <w:br/>
      </w:r>
      <w:r w:rsidRPr="00760671">
        <w:rPr>
          <w:rFonts w:ascii="Times New Roman" w:eastAsia="Times New Roman" w:hAnsi="Times New Roman" w:cs="Times New Roman"/>
          <w:b/>
          <w:bCs/>
          <w:color w:val="000000"/>
          <w:sz w:val="28"/>
          <w:szCs w:val="28"/>
          <w:bdr w:val="none" w:sz="0" w:space="0" w:color="auto" w:frame="1"/>
          <w:lang w:eastAsia="uk-UA"/>
        </w:rPr>
        <w:t>про перерахування виконавцем комунальної послуги оператору зовнішніх інженерних мереж сплачених споживачами комунальних послуг та власниками (співвласниками) приміщень, обладнаних індивідуальними системами опалення та/або гарячого водопостачання, внесків за встановлення вузлів комерційного обліку</w:t>
      </w:r>
    </w:p>
    <w:p w:rsidR="00760671" w:rsidRPr="00760671" w:rsidRDefault="00760671" w:rsidP="00760671">
      <w:pPr>
        <w:spacing w:before="60" w:after="60" w:line="240" w:lineRule="auto"/>
        <w:rPr>
          <w:rFonts w:ascii="Times New Roman" w:eastAsia="Times New Roman" w:hAnsi="Times New Roman" w:cs="Times New Roman"/>
          <w:sz w:val="24"/>
          <w:szCs w:val="24"/>
          <w:lang w:eastAsia="uk-UA"/>
        </w:rPr>
      </w:pPr>
      <w:bookmarkStart w:id="26" w:name="n52"/>
      <w:bookmarkEnd w:id="26"/>
      <w:r w:rsidRPr="00760671">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3"/>
        <w:gridCol w:w="5780"/>
      </w:tblGrid>
      <w:tr w:rsidR="00760671" w:rsidRPr="00760671" w:rsidTr="00760671">
        <w:tc>
          <w:tcPr>
            <w:tcW w:w="2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textAlignment w:val="baseline"/>
              <w:rPr>
                <w:rFonts w:ascii="Times New Roman" w:eastAsia="Times New Roman" w:hAnsi="Times New Roman" w:cs="Times New Roman"/>
                <w:sz w:val="24"/>
                <w:szCs w:val="24"/>
                <w:lang w:eastAsia="uk-UA"/>
              </w:rPr>
            </w:pPr>
            <w:bookmarkStart w:id="27" w:name="n31"/>
            <w:bookmarkEnd w:id="27"/>
            <w:r w:rsidRPr="00760671">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60671" w:rsidRPr="00760671" w:rsidRDefault="00760671" w:rsidP="00760671">
            <w:pPr>
              <w:spacing w:after="0" w:line="240" w:lineRule="auto"/>
              <w:jc w:val="center"/>
              <w:textAlignment w:val="baseline"/>
              <w:rPr>
                <w:rFonts w:ascii="Times New Roman" w:eastAsia="Times New Roman" w:hAnsi="Times New Roman" w:cs="Times New Roman"/>
                <w:sz w:val="24"/>
                <w:szCs w:val="24"/>
                <w:lang w:eastAsia="uk-UA"/>
              </w:rPr>
            </w:pPr>
            <w:r w:rsidRPr="00760671">
              <w:rPr>
                <w:rFonts w:ascii="Times New Roman" w:eastAsia="Times New Roman" w:hAnsi="Times New Roman" w:cs="Times New Roman"/>
                <w:b/>
                <w:bCs/>
                <w:color w:val="000000"/>
                <w:sz w:val="24"/>
                <w:szCs w:val="24"/>
                <w:bdr w:val="none" w:sz="0" w:space="0" w:color="auto" w:frame="1"/>
                <w:lang w:eastAsia="uk-UA"/>
              </w:rPr>
              <w:t>ЗАТВЕРДЖЕНО </w:t>
            </w:r>
            <w:r w:rsidRPr="00760671">
              <w:rPr>
                <w:rFonts w:ascii="Times New Roman" w:eastAsia="Times New Roman" w:hAnsi="Times New Roman" w:cs="Times New Roman"/>
                <w:sz w:val="24"/>
                <w:szCs w:val="24"/>
                <w:lang w:eastAsia="uk-UA"/>
              </w:rPr>
              <w:br/>
            </w:r>
            <w:r w:rsidRPr="00760671">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 </w:t>
            </w:r>
            <w:r w:rsidRPr="00760671">
              <w:rPr>
                <w:rFonts w:ascii="Times New Roman" w:eastAsia="Times New Roman" w:hAnsi="Times New Roman" w:cs="Times New Roman"/>
                <w:sz w:val="24"/>
                <w:szCs w:val="24"/>
                <w:lang w:eastAsia="uk-UA"/>
              </w:rPr>
              <w:br/>
            </w:r>
            <w:r w:rsidRPr="00760671">
              <w:rPr>
                <w:rFonts w:ascii="Times New Roman" w:eastAsia="Times New Roman" w:hAnsi="Times New Roman" w:cs="Times New Roman"/>
                <w:b/>
                <w:bCs/>
                <w:color w:val="000000"/>
                <w:sz w:val="24"/>
                <w:szCs w:val="24"/>
                <w:bdr w:val="none" w:sz="0" w:space="0" w:color="auto" w:frame="1"/>
                <w:lang w:eastAsia="uk-UA"/>
              </w:rPr>
              <w:t>від 13 червня 2018 р. № 477</w:t>
            </w:r>
          </w:p>
        </w:tc>
      </w:tr>
    </w:tbl>
    <w:p w:rsidR="00760671" w:rsidRPr="00760671" w:rsidRDefault="00760671" w:rsidP="0076067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8" w:name="n32"/>
      <w:bookmarkEnd w:id="28"/>
      <w:r w:rsidRPr="00760671">
        <w:rPr>
          <w:rFonts w:ascii="Times New Roman" w:eastAsia="Times New Roman" w:hAnsi="Times New Roman" w:cs="Times New Roman"/>
          <w:b/>
          <w:bCs/>
          <w:color w:val="000000"/>
          <w:sz w:val="32"/>
          <w:szCs w:val="32"/>
          <w:bdr w:val="none" w:sz="0" w:space="0" w:color="auto" w:frame="1"/>
          <w:lang w:eastAsia="uk-UA"/>
        </w:rPr>
        <w:lastRenderedPageBreak/>
        <w:t>ЗМІНИ, </w:t>
      </w:r>
      <w:r w:rsidRPr="00760671">
        <w:rPr>
          <w:rFonts w:ascii="Times New Roman" w:eastAsia="Times New Roman" w:hAnsi="Times New Roman" w:cs="Times New Roman"/>
          <w:color w:val="000000"/>
          <w:sz w:val="24"/>
          <w:szCs w:val="24"/>
          <w:lang w:eastAsia="uk-UA"/>
        </w:rPr>
        <w:br/>
      </w:r>
      <w:r w:rsidRPr="00760671">
        <w:rPr>
          <w:rFonts w:ascii="Times New Roman" w:eastAsia="Times New Roman" w:hAnsi="Times New Roman" w:cs="Times New Roman"/>
          <w:b/>
          <w:bCs/>
          <w:color w:val="000000"/>
          <w:sz w:val="32"/>
          <w:szCs w:val="32"/>
          <w:bdr w:val="none" w:sz="0" w:space="0" w:color="auto" w:frame="1"/>
          <w:lang w:eastAsia="uk-UA"/>
        </w:rPr>
        <w:t>що вносяться до постанови Кабінету Міністрів України від 1 червня 2011 р. </w:t>
      </w:r>
      <w:hyperlink r:id="rId13" w:tgtFrame="_blank" w:history="1">
        <w:r w:rsidRPr="00760671">
          <w:rPr>
            <w:rFonts w:ascii="Times New Roman" w:eastAsia="Times New Roman" w:hAnsi="Times New Roman" w:cs="Times New Roman"/>
            <w:b/>
            <w:bCs/>
            <w:color w:val="000099"/>
            <w:sz w:val="32"/>
            <w:szCs w:val="32"/>
            <w:u w:val="single"/>
            <w:bdr w:val="none" w:sz="0" w:space="0" w:color="auto" w:frame="1"/>
            <w:lang w:eastAsia="uk-UA"/>
          </w:rPr>
          <w:t>№ 869</w:t>
        </w:r>
      </w:hyperlink>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3"/>
      <w:bookmarkEnd w:id="29"/>
      <w:r w:rsidRPr="00760671">
        <w:rPr>
          <w:rFonts w:ascii="Times New Roman" w:eastAsia="Times New Roman" w:hAnsi="Times New Roman" w:cs="Times New Roman"/>
          <w:color w:val="000000"/>
          <w:sz w:val="24"/>
          <w:szCs w:val="24"/>
          <w:lang w:eastAsia="uk-UA"/>
        </w:rPr>
        <w:t>1. У </w:t>
      </w:r>
      <w:hyperlink r:id="rId14" w:anchor="n20" w:tgtFrame="_blank" w:history="1">
        <w:r w:rsidRPr="00760671">
          <w:rPr>
            <w:rFonts w:ascii="Times New Roman" w:eastAsia="Times New Roman" w:hAnsi="Times New Roman" w:cs="Times New Roman"/>
            <w:color w:val="000099"/>
            <w:sz w:val="24"/>
            <w:szCs w:val="24"/>
            <w:u w:val="single"/>
            <w:bdr w:val="none" w:sz="0" w:space="0" w:color="auto" w:frame="1"/>
            <w:lang w:eastAsia="uk-UA"/>
          </w:rPr>
          <w:t>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w:t>
        </w:r>
      </w:hyperlink>
      <w:r w:rsidRPr="00760671">
        <w:rPr>
          <w:rFonts w:ascii="Times New Roman" w:eastAsia="Times New Roman" w:hAnsi="Times New Roman" w:cs="Times New Roman"/>
          <w:color w:val="000000"/>
          <w:sz w:val="24"/>
          <w:szCs w:val="24"/>
          <w:lang w:eastAsia="uk-UA"/>
        </w:rPr>
        <w:t>, затвердженому зазначеною постановою:</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4"/>
      <w:bookmarkEnd w:id="30"/>
      <w:r w:rsidRPr="00760671">
        <w:rPr>
          <w:rFonts w:ascii="Times New Roman" w:eastAsia="Times New Roman" w:hAnsi="Times New Roman" w:cs="Times New Roman"/>
          <w:color w:val="000000"/>
          <w:sz w:val="24"/>
          <w:szCs w:val="24"/>
          <w:lang w:eastAsia="uk-UA"/>
        </w:rPr>
        <w:t>1) </w:t>
      </w:r>
      <w:hyperlink r:id="rId15" w:anchor="n60"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пункт 18</w:t>
        </w:r>
      </w:hyperlink>
      <w:r w:rsidRPr="00760671">
        <w:rPr>
          <w:rFonts w:ascii="Times New Roman" w:eastAsia="Times New Roman" w:hAnsi="Times New Roman" w:cs="Times New Roman"/>
          <w:color w:val="000000"/>
          <w:sz w:val="24"/>
          <w:szCs w:val="24"/>
          <w:lang w:eastAsia="uk-UA"/>
        </w:rPr>
        <w:t> після абзацу двадцять шостого доповнити новим абзацом такого змісту:</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5"/>
      <w:bookmarkEnd w:id="31"/>
      <w:r w:rsidRPr="00760671">
        <w:rPr>
          <w:rFonts w:ascii="Times New Roman" w:eastAsia="Times New Roman" w:hAnsi="Times New Roman" w:cs="Times New Roman"/>
          <w:color w:val="000000"/>
          <w:sz w:val="24"/>
          <w:szCs w:val="24"/>
          <w:lang w:eastAsia="uk-UA"/>
        </w:rPr>
        <w:t>“- витрати на обслуговування засобів вимірювальної техніки (огляд, опломбування/</w:t>
      </w:r>
      <w:proofErr w:type="spellStart"/>
      <w:r w:rsidRPr="00760671">
        <w:rPr>
          <w:rFonts w:ascii="Times New Roman" w:eastAsia="Times New Roman" w:hAnsi="Times New Roman" w:cs="Times New Roman"/>
          <w:color w:val="000000"/>
          <w:sz w:val="24"/>
          <w:szCs w:val="24"/>
          <w:lang w:eastAsia="uk-UA"/>
        </w:rPr>
        <w:t>розпломбування</w:t>
      </w:r>
      <w:proofErr w:type="spellEnd"/>
      <w:r w:rsidRPr="00760671">
        <w:rPr>
          <w:rFonts w:ascii="Times New Roman" w:eastAsia="Times New Roman" w:hAnsi="Times New Roman" w:cs="Times New Roman"/>
          <w:color w:val="000000"/>
          <w:sz w:val="24"/>
          <w:szCs w:val="24"/>
          <w:lang w:eastAsia="uk-UA"/>
        </w:rPr>
        <w:t>, періодичну повірку та ремонт (у тому числі демонтаж, транспортування та монтаж), які є власністю ліцензіата та/або перебувають в його користуванні (крім вузлів комерційного та розподільного обліку води і теплової енергії) і використовуються у технологічному процесі виробництва теплової енергії, надання комунальних послуг;”.</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6"/>
      <w:bookmarkEnd w:id="32"/>
      <w:r w:rsidRPr="00760671">
        <w:rPr>
          <w:rFonts w:ascii="Times New Roman" w:eastAsia="Times New Roman" w:hAnsi="Times New Roman" w:cs="Times New Roman"/>
          <w:color w:val="000000"/>
          <w:sz w:val="24"/>
          <w:szCs w:val="24"/>
          <w:lang w:eastAsia="uk-UA"/>
        </w:rPr>
        <w:t>У зв’язку з цим абзаци двадцять сьомий - двадцять дев’ятий вважати відповідно абзацами двадцять восьмим - тридцятим;</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7"/>
      <w:bookmarkEnd w:id="33"/>
      <w:r w:rsidRPr="00760671">
        <w:rPr>
          <w:rFonts w:ascii="Times New Roman" w:eastAsia="Times New Roman" w:hAnsi="Times New Roman" w:cs="Times New Roman"/>
          <w:color w:val="000000"/>
          <w:sz w:val="24"/>
          <w:szCs w:val="24"/>
          <w:lang w:eastAsia="uk-UA"/>
        </w:rPr>
        <w:t>2) </w:t>
      </w:r>
      <w:hyperlink r:id="rId16" w:anchor="n112" w:tgtFrame="_blank" w:history="1">
        <w:r w:rsidRPr="00760671">
          <w:rPr>
            <w:rFonts w:ascii="Times New Roman" w:eastAsia="Times New Roman" w:hAnsi="Times New Roman" w:cs="Times New Roman"/>
            <w:color w:val="000099"/>
            <w:sz w:val="24"/>
            <w:szCs w:val="24"/>
            <w:u w:val="single"/>
            <w:bdr w:val="none" w:sz="0" w:space="0" w:color="auto" w:frame="1"/>
            <w:lang w:eastAsia="uk-UA"/>
          </w:rPr>
          <w:t>абзац десятий</w:t>
        </w:r>
      </w:hyperlink>
      <w:r w:rsidRPr="00760671">
        <w:rPr>
          <w:rFonts w:ascii="Times New Roman" w:eastAsia="Times New Roman" w:hAnsi="Times New Roman" w:cs="Times New Roman"/>
          <w:color w:val="000000"/>
          <w:sz w:val="24"/>
          <w:szCs w:val="24"/>
          <w:lang w:eastAsia="uk-UA"/>
        </w:rPr>
        <w:t> пункту 20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8"/>
      <w:bookmarkEnd w:id="34"/>
      <w:r w:rsidRPr="00760671">
        <w:rPr>
          <w:rFonts w:ascii="Times New Roman" w:eastAsia="Times New Roman" w:hAnsi="Times New Roman" w:cs="Times New Roman"/>
          <w:color w:val="000000"/>
          <w:sz w:val="24"/>
          <w:szCs w:val="24"/>
          <w:lang w:eastAsia="uk-UA"/>
        </w:rPr>
        <w:t>3) у </w:t>
      </w:r>
      <w:hyperlink r:id="rId17" w:anchor="n131"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пункті 24</w:t>
        </w:r>
      </w:hyperlink>
      <w:r w:rsidRPr="00760671">
        <w:rPr>
          <w:rFonts w:ascii="Times New Roman" w:eastAsia="Times New Roman" w:hAnsi="Times New Roman" w:cs="Times New Roman"/>
          <w:color w:val="000000"/>
          <w:sz w:val="24"/>
          <w:szCs w:val="24"/>
          <w:lang w:eastAsia="uk-UA"/>
        </w:rPr>
        <w:t> слова “(включаючи придбання та встановлення будинкових приладів обліку теплової енергії)”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9"/>
      <w:bookmarkEnd w:id="35"/>
      <w:r w:rsidRPr="00760671">
        <w:rPr>
          <w:rFonts w:ascii="Times New Roman" w:eastAsia="Times New Roman" w:hAnsi="Times New Roman" w:cs="Times New Roman"/>
          <w:color w:val="000000"/>
          <w:sz w:val="24"/>
          <w:szCs w:val="24"/>
          <w:lang w:eastAsia="uk-UA"/>
        </w:rPr>
        <w:t>4) </w:t>
      </w:r>
      <w:hyperlink r:id="rId18" w:anchor="n228" w:tgtFrame="_blank" w:history="1">
        <w:r w:rsidRPr="00760671">
          <w:rPr>
            <w:rFonts w:ascii="Times New Roman" w:eastAsia="Times New Roman" w:hAnsi="Times New Roman" w:cs="Times New Roman"/>
            <w:color w:val="000099"/>
            <w:sz w:val="24"/>
            <w:szCs w:val="24"/>
            <w:u w:val="single"/>
            <w:bdr w:val="none" w:sz="0" w:space="0" w:color="auto" w:frame="1"/>
            <w:lang w:eastAsia="uk-UA"/>
          </w:rPr>
          <w:t>абзаци одинадцятий</w:t>
        </w:r>
      </w:hyperlink>
      <w:r w:rsidRPr="00760671">
        <w:rPr>
          <w:rFonts w:ascii="Times New Roman" w:eastAsia="Times New Roman" w:hAnsi="Times New Roman" w:cs="Times New Roman"/>
          <w:color w:val="000000"/>
          <w:sz w:val="24"/>
          <w:szCs w:val="24"/>
          <w:lang w:eastAsia="uk-UA"/>
        </w:rPr>
        <w:t> і </w:t>
      </w:r>
      <w:hyperlink r:id="rId19" w:anchor="n777" w:tgtFrame="_blank" w:history="1">
        <w:r w:rsidRPr="00760671">
          <w:rPr>
            <w:rFonts w:ascii="Times New Roman" w:eastAsia="Times New Roman" w:hAnsi="Times New Roman" w:cs="Times New Roman"/>
            <w:color w:val="000099"/>
            <w:sz w:val="24"/>
            <w:szCs w:val="24"/>
            <w:u w:val="single"/>
            <w:bdr w:val="none" w:sz="0" w:space="0" w:color="auto" w:frame="1"/>
            <w:lang w:eastAsia="uk-UA"/>
          </w:rPr>
          <w:t>дванадцятий</w:t>
        </w:r>
      </w:hyperlink>
      <w:r w:rsidRPr="00760671">
        <w:rPr>
          <w:rFonts w:ascii="Times New Roman" w:eastAsia="Times New Roman" w:hAnsi="Times New Roman" w:cs="Times New Roman"/>
          <w:color w:val="000000"/>
          <w:sz w:val="24"/>
          <w:szCs w:val="24"/>
          <w:lang w:eastAsia="uk-UA"/>
        </w:rPr>
        <w:t> пункту 61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40"/>
      <w:bookmarkEnd w:id="36"/>
      <w:r w:rsidRPr="00760671">
        <w:rPr>
          <w:rFonts w:ascii="Times New Roman" w:eastAsia="Times New Roman" w:hAnsi="Times New Roman" w:cs="Times New Roman"/>
          <w:color w:val="000000"/>
          <w:sz w:val="24"/>
          <w:szCs w:val="24"/>
          <w:lang w:eastAsia="uk-UA"/>
        </w:rPr>
        <w:t>5) у </w:t>
      </w:r>
      <w:hyperlink r:id="rId20" w:anchor="n247"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пункті 66</w:t>
        </w:r>
      </w:hyperlink>
      <w:r w:rsidRPr="00760671">
        <w:rPr>
          <w:rFonts w:ascii="Times New Roman" w:eastAsia="Times New Roman" w:hAnsi="Times New Roman" w:cs="Times New Roman"/>
          <w:color w:val="000000"/>
          <w:sz w:val="24"/>
          <w:szCs w:val="24"/>
          <w:lang w:eastAsia="uk-UA"/>
        </w:rPr>
        <w:t> слова “(включаючи придбання та встановлення будинкових приладів обліку теплової енергії)”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41"/>
      <w:bookmarkEnd w:id="37"/>
      <w:r w:rsidRPr="00760671">
        <w:rPr>
          <w:rFonts w:ascii="Times New Roman" w:eastAsia="Times New Roman" w:hAnsi="Times New Roman" w:cs="Times New Roman"/>
          <w:color w:val="000000"/>
          <w:sz w:val="24"/>
          <w:szCs w:val="24"/>
          <w:lang w:eastAsia="uk-UA"/>
        </w:rPr>
        <w:t>6) </w:t>
      </w:r>
      <w:hyperlink r:id="rId21" w:anchor="n305" w:tgtFrame="_blank" w:history="1">
        <w:r w:rsidRPr="00760671">
          <w:rPr>
            <w:rFonts w:ascii="Times New Roman" w:eastAsia="Times New Roman" w:hAnsi="Times New Roman" w:cs="Times New Roman"/>
            <w:color w:val="000099"/>
            <w:sz w:val="24"/>
            <w:szCs w:val="24"/>
            <w:u w:val="single"/>
            <w:bdr w:val="none" w:sz="0" w:space="0" w:color="auto" w:frame="1"/>
            <w:lang w:eastAsia="uk-UA"/>
          </w:rPr>
          <w:t>абзаци дев’ятий</w:t>
        </w:r>
      </w:hyperlink>
      <w:r w:rsidRPr="00760671">
        <w:rPr>
          <w:rFonts w:ascii="Times New Roman" w:eastAsia="Times New Roman" w:hAnsi="Times New Roman" w:cs="Times New Roman"/>
          <w:color w:val="000000"/>
          <w:sz w:val="24"/>
          <w:szCs w:val="24"/>
          <w:lang w:eastAsia="uk-UA"/>
        </w:rPr>
        <w:t> і </w:t>
      </w:r>
      <w:hyperlink r:id="rId22" w:anchor="n780" w:tgtFrame="_blank" w:history="1">
        <w:r w:rsidRPr="00760671">
          <w:rPr>
            <w:rFonts w:ascii="Times New Roman" w:eastAsia="Times New Roman" w:hAnsi="Times New Roman" w:cs="Times New Roman"/>
            <w:color w:val="000099"/>
            <w:sz w:val="24"/>
            <w:szCs w:val="24"/>
            <w:u w:val="single"/>
            <w:bdr w:val="none" w:sz="0" w:space="0" w:color="auto" w:frame="1"/>
            <w:lang w:eastAsia="uk-UA"/>
          </w:rPr>
          <w:t>десятий</w:t>
        </w:r>
      </w:hyperlink>
      <w:r w:rsidRPr="00760671">
        <w:rPr>
          <w:rFonts w:ascii="Times New Roman" w:eastAsia="Times New Roman" w:hAnsi="Times New Roman" w:cs="Times New Roman"/>
          <w:color w:val="000000"/>
          <w:sz w:val="24"/>
          <w:szCs w:val="24"/>
          <w:lang w:eastAsia="uk-UA"/>
        </w:rPr>
        <w:t> пункту 79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2"/>
      <w:bookmarkEnd w:id="38"/>
      <w:r w:rsidRPr="00760671">
        <w:rPr>
          <w:rFonts w:ascii="Times New Roman" w:eastAsia="Times New Roman" w:hAnsi="Times New Roman" w:cs="Times New Roman"/>
          <w:color w:val="000000"/>
          <w:sz w:val="24"/>
          <w:szCs w:val="24"/>
          <w:lang w:eastAsia="uk-UA"/>
        </w:rPr>
        <w:t>7) у </w:t>
      </w:r>
      <w:hyperlink r:id="rId23" w:anchor="n324"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пункті 84</w:t>
        </w:r>
      </w:hyperlink>
      <w:r w:rsidRPr="00760671">
        <w:rPr>
          <w:rFonts w:ascii="Times New Roman" w:eastAsia="Times New Roman" w:hAnsi="Times New Roman" w:cs="Times New Roman"/>
          <w:color w:val="000000"/>
          <w:sz w:val="24"/>
          <w:szCs w:val="24"/>
          <w:lang w:eastAsia="uk-UA"/>
        </w:rPr>
        <w:t> слова “(включаючи придбання та встановлення будинкових приладів обліку теплової енергії)”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3"/>
      <w:bookmarkEnd w:id="39"/>
      <w:r w:rsidRPr="00760671">
        <w:rPr>
          <w:rFonts w:ascii="Times New Roman" w:eastAsia="Times New Roman" w:hAnsi="Times New Roman" w:cs="Times New Roman"/>
          <w:color w:val="000000"/>
          <w:sz w:val="24"/>
          <w:szCs w:val="24"/>
          <w:lang w:eastAsia="uk-UA"/>
        </w:rPr>
        <w:t>2. У </w:t>
      </w:r>
      <w:hyperlink r:id="rId24" w:anchor="n366" w:tgtFrame="_blank" w:history="1">
        <w:r w:rsidRPr="00760671">
          <w:rPr>
            <w:rFonts w:ascii="Times New Roman" w:eastAsia="Times New Roman" w:hAnsi="Times New Roman" w:cs="Times New Roman"/>
            <w:color w:val="000099"/>
            <w:sz w:val="24"/>
            <w:szCs w:val="24"/>
            <w:u w:val="single"/>
            <w:bdr w:val="none" w:sz="0" w:space="0" w:color="auto" w:frame="1"/>
            <w:lang w:eastAsia="uk-UA"/>
          </w:rPr>
          <w:t>Порядку формування тарифів на централізоване водопостачання та водовідведення</w:t>
        </w:r>
      </w:hyperlink>
      <w:r w:rsidRPr="00760671">
        <w:rPr>
          <w:rFonts w:ascii="Times New Roman" w:eastAsia="Times New Roman" w:hAnsi="Times New Roman" w:cs="Times New Roman"/>
          <w:color w:val="000000"/>
          <w:sz w:val="24"/>
          <w:szCs w:val="24"/>
          <w:lang w:eastAsia="uk-UA"/>
        </w:rPr>
        <w:t>, затвердженому зазначеною постановою:</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4"/>
      <w:bookmarkEnd w:id="40"/>
      <w:r w:rsidRPr="00760671">
        <w:rPr>
          <w:rFonts w:ascii="Times New Roman" w:eastAsia="Times New Roman" w:hAnsi="Times New Roman" w:cs="Times New Roman"/>
          <w:color w:val="000000"/>
          <w:sz w:val="24"/>
          <w:szCs w:val="24"/>
          <w:lang w:eastAsia="uk-UA"/>
        </w:rPr>
        <w:t>1) у </w:t>
      </w:r>
      <w:hyperlink r:id="rId25" w:anchor="n409"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пункті 19</w:t>
        </w:r>
      </w:hyperlink>
      <w:r w:rsidRPr="00760671">
        <w:rPr>
          <w:rFonts w:ascii="Times New Roman" w:eastAsia="Times New Roman" w:hAnsi="Times New Roman" w:cs="Times New Roman"/>
          <w:color w:val="000000"/>
          <w:sz w:val="24"/>
          <w:szCs w:val="24"/>
          <w:lang w:eastAsia="uk-UA"/>
        </w:rPr>
        <w:t> слова “(включаючи придбання та встановлення будинкових приладів обліку води)”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5"/>
      <w:bookmarkEnd w:id="41"/>
      <w:r w:rsidRPr="00760671">
        <w:rPr>
          <w:rFonts w:ascii="Times New Roman" w:eastAsia="Times New Roman" w:hAnsi="Times New Roman" w:cs="Times New Roman"/>
          <w:color w:val="000000"/>
          <w:sz w:val="24"/>
          <w:szCs w:val="24"/>
          <w:lang w:eastAsia="uk-UA"/>
        </w:rPr>
        <w:t>2) </w:t>
      </w:r>
      <w:hyperlink r:id="rId26" w:anchor="n414" w:tgtFrame="_blank" w:history="1">
        <w:r w:rsidRPr="00760671">
          <w:rPr>
            <w:rFonts w:ascii="Times New Roman" w:eastAsia="Times New Roman" w:hAnsi="Times New Roman" w:cs="Times New Roman"/>
            <w:color w:val="000099"/>
            <w:sz w:val="24"/>
            <w:szCs w:val="24"/>
            <w:u w:val="single"/>
            <w:bdr w:val="none" w:sz="0" w:space="0" w:color="auto" w:frame="1"/>
            <w:lang w:eastAsia="uk-UA"/>
          </w:rPr>
          <w:t>пункт 22</w:t>
        </w:r>
      </w:hyperlink>
      <w:r w:rsidRPr="00760671">
        <w:rPr>
          <w:rFonts w:ascii="Times New Roman" w:eastAsia="Times New Roman" w:hAnsi="Times New Roman" w:cs="Times New Roman"/>
          <w:color w:val="000000"/>
          <w:sz w:val="24"/>
          <w:szCs w:val="24"/>
          <w:lang w:eastAsia="uk-UA"/>
        </w:rPr>
        <w:t> після абзацу двадцять п’ятого доповнити новим абзацом такого змісту:</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6"/>
      <w:bookmarkEnd w:id="42"/>
      <w:r w:rsidRPr="00760671">
        <w:rPr>
          <w:rFonts w:ascii="Times New Roman" w:eastAsia="Times New Roman" w:hAnsi="Times New Roman" w:cs="Times New Roman"/>
          <w:color w:val="000000"/>
          <w:sz w:val="24"/>
          <w:szCs w:val="24"/>
          <w:lang w:eastAsia="uk-UA"/>
        </w:rPr>
        <w:t>“- витрати на обслуговування засобів вимірювальної техніки (огляд, опломбування/</w:t>
      </w:r>
      <w:proofErr w:type="spellStart"/>
      <w:r w:rsidRPr="00760671">
        <w:rPr>
          <w:rFonts w:ascii="Times New Roman" w:eastAsia="Times New Roman" w:hAnsi="Times New Roman" w:cs="Times New Roman"/>
          <w:color w:val="000000"/>
          <w:sz w:val="24"/>
          <w:szCs w:val="24"/>
          <w:lang w:eastAsia="uk-UA"/>
        </w:rPr>
        <w:t>розпломбування</w:t>
      </w:r>
      <w:proofErr w:type="spellEnd"/>
      <w:r w:rsidRPr="00760671">
        <w:rPr>
          <w:rFonts w:ascii="Times New Roman" w:eastAsia="Times New Roman" w:hAnsi="Times New Roman" w:cs="Times New Roman"/>
          <w:color w:val="000000"/>
          <w:sz w:val="24"/>
          <w:szCs w:val="24"/>
          <w:lang w:eastAsia="uk-UA"/>
        </w:rPr>
        <w:t>, періодичну повірку та ремонт (у тому числі демонтаж, транспортування та монтаж), які є власністю ліцензіата та/або перебувають в його користуванні (крім вузлів комерційного та розподільного обліку води) і використовуються у технологічному процесі виробництва/надання послуг з централізованого водопостачання та водовідведення;”.</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7"/>
      <w:bookmarkEnd w:id="43"/>
      <w:r w:rsidRPr="00760671">
        <w:rPr>
          <w:rFonts w:ascii="Times New Roman" w:eastAsia="Times New Roman" w:hAnsi="Times New Roman" w:cs="Times New Roman"/>
          <w:color w:val="000000"/>
          <w:sz w:val="24"/>
          <w:szCs w:val="24"/>
          <w:lang w:eastAsia="uk-UA"/>
        </w:rPr>
        <w:t>У зв’язку з цим абзаци двадцять шостий - двадцять дев’ятий вважати відповідно абзацами двадцять сьомим - тридцятим;</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8"/>
      <w:bookmarkEnd w:id="44"/>
      <w:r w:rsidRPr="00760671">
        <w:rPr>
          <w:rFonts w:ascii="Times New Roman" w:eastAsia="Times New Roman" w:hAnsi="Times New Roman" w:cs="Times New Roman"/>
          <w:color w:val="000000"/>
          <w:sz w:val="24"/>
          <w:szCs w:val="24"/>
          <w:lang w:eastAsia="uk-UA"/>
        </w:rPr>
        <w:t>3) </w:t>
      </w:r>
      <w:hyperlink r:id="rId27" w:anchor="n466" w:tgtFrame="_blank" w:history="1">
        <w:r w:rsidRPr="00760671">
          <w:rPr>
            <w:rFonts w:ascii="Times New Roman" w:eastAsia="Times New Roman" w:hAnsi="Times New Roman" w:cs="Times New Roman"/>
            <w:color w:val="000099"/>
            <w:sz w:val="24"/>
            <w:szCs w:val="24"/>
            <w:u w:val="single"/>
            <w:bdr w:val="none" w:sz="0" w:space="0" w:color="auto" w:frame="1"/>
            <w:lang w:eastAsia="uk-UA"/>
          </w:rPr>
          <w:t>абзац десятий</w:t>
        </w:r>
      </w:hyperlink>
      <w:r w:rsidRPr="00760671">
        <w:rPr>
          <w:rFonts w:ascii="Times New Roman" w:eastAsia="Times New Roman" w:hAnsi="Times New Roman" w:cs="Times New Roman"/>
          <w:color w:val="000000"/>
          <w:sz w:val="24"/>
          <w:szCs w:val="24"/>
          <w:lang w:eastAsia="uk-UA"/>
        </w:rPr>
        <w:t> пункту 24 виключити.</w:t>
      </w:r>
    </w:p>
    <w:p w:rsidR="00760671" w:rsidRPr="00760671" w:rsidRDefault="00760671" w:rsidP="0076067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9"/>
      <w:bookmarkEnd w:id="45"/>
      <w:r w:rsidRPr="00760671">
        <w:rPr>
          <w:rFonts w:ascii="Times New Roman" w:eastAsia="Times New Roman" w:hAnsi="Times New Roman" w:cs="Times New Roman"/>
          <w:color w:val="000000"/>
          <w:sz w:val="24"/>
          <w:szCs w:val="24"/>
          <w:lang w:eastAsia="uk-UA"/>
        </w:rPr>
        <w:t>3. </w:t>
      </w:r>
      <w:hyperlink r:id="rId28" w:anchor="n977" w:tgtFrame="_blank" w:history="1">
        <w:r w:rsidRPr="00760671">
          <w:rPr>
            <w:rFonts w:ascii="Times New Roman" w:eastAsia="Times New Roman" w:hAnsi="Times New Roman" w:cs="Times New Roman"/>
            <w:color w:val="000099"/>
            <w:sz w:val="24"/>
            <w:szCs w:val="24"/>
            <w:u w:val="single"/>
            <w:bdr w:val="none" w:sz="0" w:space="0" w:color="auto" w:frame="1"/>
            <w:lang w:eastAsia="uk-UA"/>
          </w:rPr>
          <w:t>Абзац сьомий</w:t>
        </w:r>
      </w:hyperlink>
      <w:r w:rsidRPr="00760671">
        <w:rPr>
          <w:rFonts w:ascii="Times New Roman" w:eastAsia="Times New Roman" w:hAnsi="Times New Roman" w:cs="Times New Roman"/>
          <w:color w:val="000000"/>
          <w:sz w:val="24"/>
          <w:szCs w:val="24"/>
          <w:lang w:eastAsia="uk-UA"/>
        </w:rPr>
        <w:t xml:space="preserve"> пункту 16 Порядку формування тарифів на послуги з централізованого постачання холодної води, водовідведення (з використанням </w:t>
      </w:r>
      <w:proofErr w:type="spellStart"/>
      <w:r w:rsidRPr="00760671">
        <w:rPr>
          <w:rFonts w:ascii="Times New Roman" w:eastAsia="Times New Roman" w:hAnsi="Times New Roman" w:cs="Times New Roman"/>
          <w:color w:val="000000"/>
          <w:sz w:val="24"/>
          <w:szCs w:val="24"/>
          <w:lang w:eastAsia="uk-UA"/>
        </w:rPr>
        <w:t>внутрішньобудинкових</w:t>
      </w:r>
      <w:proofErr w:type="spellEnd"/>
      <w:r w:rsidRPr="00760671">
        <w:rPr>
          <w:rFonts w:ascii="Times New Roman" w:eastAsia="Times New Roman" w:hAnsi="Times New Roman" w:cs="Times New Roman"/>
          <w:color w:val="000000"/>
          <w:sz w:val="24"/>
          <w:szCs w:val="24"/>
          <w:lang w:eastAsia="uk-UA"/>
        </w:rPr>
        <w:t xml:space="preserve"> систем), затвердженого зазначеною постановою, виключити.</w:t>
      </w:r>
    </w:p>
    <w:p w:rsidR="00DA4516" w:rsidRDefault="00DA4516"/>
    <w:sectPr w:rsidR="00DA45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C4"/>
    <w:rsid w:val="006575C4"/>
    <w:rsid w:val="00760671"/>
    <w:rsid w:val="00DA45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D991-BAC0-482A-BFDF-BFBD87C8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5285">
      <w:bodyDiv w:val="1"/>
      <w:marLeft w:val="0"/>
      <w:marRight w:val="0"/>
      <w:marTop w:val="0"/>
      <w:marBottom w:val="0"/>
      <w:divBdr>
        <w:top w:val="none" w:sz="0" w:space="0" w:color="auto"/>
        <w:left w:val="none" w:sz="0" w:space="0" w:color="auto"/>
        <w:bottom w:val="none" w:sz="0" w:space="0" w:color="auto"/>
        <w:right w:val="none" w:sz="0" w:space="0" w:color="auto"/>
      </w:divBdr>
      <w:divsChild>
        <w:div w:id="1501652667">
          <w:marLeft w:val="0"/>
          <w:marRight w:val="0"/>
          <w:marTop w:val="0"/>
          <w:marBottom w:val="150"/>
          <w:divBdr>
            <w:top w:val="none" w:sz="0" w:space="0" w:color="auto"/>
            <w:left w:val="none" w:sz="0" w:space="0" w:color="auto"/>
            <w:bottom w:val="none" w:sz="0" w:space="0" w:color="auto"/>
            <w:right w:val="none" w:sz="0" w:space="0" w:color="auto"/>
          </w:divBdr>
        </w:div>
        <w:div w:id="446657091">
          <w:marLeft w:val="0"/>
          <w:marRight w:val="0"/>
          <w:marTop w:val="0"/>
          <w:marBottom w:val="150"/>
          <w:divBdr>
            <w:top w:val="none" w:sz="0" w:space="0" w:color="auto"/>
            <w:left w:val="none" w:sz="0" w:space="0" w:color="auto"/>
            <w:bottom w:val="none" w:sz="0" w:space="0" w:color="auto"/>
            <w:right w:val="none" w:sz="0" w:space="0" w:color="auto"/>
          </w:divBdr>
        </w:div>
        <w:div w:id="164980042">
          <w:marLeft w:val="0"/>
          <w:marRight w:val="0"/>
          <w:marTop w:val="0"/>
          <w:marBottom w:val="150"/>
          <w:divBdr>
            <w:top w:val="none" w:sz="0" w:space="0" w:color="auto"/>
            <w:left w:val="none" w:sz="0" w:space="0" w:color="auto"/>
            <w:bottom w:val="none" w:sz="0" w:space="0" w:color="auto"/>
            <w:right w:val="none" w:sz="0" w:space="0" w:color="auto"/>
          </w:divBdr>
        </w:div>
        <w:div w:id="1588345380">
          <w:marLeft w:val="0"/>
          <w:marRight w:val="0"/>
          <w:marTop w:val="0"/>
          <w:marBottom w:val="150"/>
          <w:divBdr>
            <w:top w:val="none" w:sz="0" w:space="0" w:color="auto"/>
            <w:left w:val="none" w:sz="0" w:space="0" w:color="auto"/>
            <w:bottom w:val="none" w:sz="0" w:space="0" w:color="auto"/>
            <w:right w:val="none" w:sz="0" w:space="0" w:color="auto"/>
          </w:divBdr>
        </w:div>
        <w:div w:id="7824555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77-2018-%D0%BF" TargetMode="External"/><Relationship Id="rId13" Type="http://schemas.openxmlformats.org/officeDocument/2006/relationships/hyperlink" Target="http://zakon0.rada.gov.ua/laws/show/869-2011-%D0%BF" TargetMode="External"/><Relationship Id="rId18" Type="http://schemas.openxmlformats.org/officeDocument/2006/relationships/hyperlink" Target="http://zakon0.rada.gov.ua/laws/show/869-2011-%D0%BF/paran228" TargetMode="External"/><Relationship Id="rId26" Type="http://schemas.openxmlformats.org/officeDocument/2006/relationships/hyperlink" Target="http://zakon0.rada.gov.ua/laws/show/869-2011-%D0%BF/paran414" TargetMode="External"/><Relationship Id="rId3" Type="http://schemas.openxmlformats.org/officeDocument/2006/relationships/webSettings" Target="webSettings.xml"/><Relationship Id="rId21" Type="http://schemas.openxmlformats.org/officeDocument/2006/relationships/hyperlink" Target="http://zakon0.rada.gov.ua/laws/show/869-2011-%D0%BF/paran305" TargetMode="External"/><Relationship Id="rId7" Type="http://schemas.openxmlformats.org/officeDocument/2006/relationships/hyperlink" Target="http://zakon0.rada.gov.ua/laws/show/869-2011-%D0%BF" TargetMode="External"/><Relationship Id="rId12" Type="http://schemas.openxmlformats.org/officeDocument/2006/relationships/hyperlink" Target="http://zakon0.rada.gov.ua/laws/show/477-2018-%D0%BF" TargetMode="External"/><Relationship Id="rId17" Type="http://schemas.openxmlformats.org/officeDocument/2006/relationships/hyperlink" Target="http://zakon0.rada.gov.ua/laws/show/869-2011-%D0%BF/paran131" TargetMode="External"/><Relationship Id="rId25" Type="http://schemas.openxmlformats.org/officeDocument/2006/relationships/hyperlink" Target="http://zakon0.rada.gov.ua/laws/show/869-2011-%D0%BF/paran409" TargetMode="External"/><Relationship Id="rId2" Type="http://schemas.openxmlformats.org/officeDocument/2006/relationships/settings" Target="settings.xml"/><Relationship Id="rId16" Type="http://schemas.openxmlformats.org/officeDocument/2006/relationships/hyperlink" Target="http://zakon0.rada.gov.ua/laws/show/869-2011-%D0%BF/paran112" TargetMode="External"/><Relationship Id="rId20" Type="http://schemas.openxmlformats.org/officeDocument/2006/relationships/hyperlink" Target="http://zakon0.rada.gov.ua/laws/show/869-2011-%D0%BF/paran24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0.rada.gov.ua/laws/show/477-2018-%D0%BF" TargetMode="External"/><Relationship Id="rId11" Type="http://schemas.openxmlformats.org/officeDocument/2006/relationships/hyperlink" Target="http://zakon0.rada.gov.ua/laws/show/2119-19" TargetMode="External"/><Relationship Id="rId24" Type="http://schemas.openxmlformats.org/officeDocument/2006/relationships/hyperlink" Target="http://zakon0.rada.gov.ua/laws/show/869-2011-%D0%BF/paran366" TargetMode="External"/><Relationship Id="rId5" Type="http://schemas.openxmlformats.org/officeDocument/2006/relationships/hyperlink" Target="http://zakon0.rada.gov.ua/laws/show/2119-19/paran37" TargetMode="External"/><Relationship Id="rId15" Type="http://schemas.openxmlformats.org/officeDocument/2006/relationships/hyperlink" Target="http://zakon0.rada.gov.ua/laws/show/869-2011-%D0%BF/paran60" TargetMode="External"/><Relationship Id="rId23" Type="http://schemas.openxmlformats.org/officeDocument/2006/relationships/hyperlink" Target="http://zakon0.rada.gov.ua/laws/show/869-2011-%D0%BF/paran324" TargetMode="External"/><Relationship Id="rId28" Type="http://schemas.openxmlformats.org/officeDocument/2006/relationships/hyperlink" Target="http://zakon0.rada.gov.ua/laws/show/869-2011-%D0%BF/paran977" TargetMode="External"/><Relationship Id="rId10" Type="http://schemas.openxmlformats.org/officeDocument/2006/relationships/hyperlink" Target="http://zakon0.rada.gov.ua/laws/show/1875-15" TargetMode="External"/><Relationship Id="rId19" Type="http://schemas.openxmlformats.org/officeDocument/2006/relationships/hyperlink" Target="http://zakon0.rada.gov.ua/laws/show/869-2011-%D0%BF/paran777" TargetMode="External"/><Relationship Id="rId4" Type="http://schemas.openxmlformats.org/officeDocument/2006/relationships/image" Target="media/image1.gif"/><Relationship Id="rId9" Type="http://schemas.openxmlformats.org/officeDocument/2006/relationships/hyperlink" Target="http://zakon0.rada.gov.ua/laws/show/477-2018-%D0%BF" TargetMode="External"/><Relationship Id="rId14" Type="http://schemas.openxmlformats.org/officeDocument/2006/relationships/hyperlink" Target="http://zakon0.rada.gov.ua/laws/show/869-2011-%D0%BF/paran20" TargetMode="External"/><Relationship Id="rId22" Type="http://schemas.openxmlformats.org/officeDocument/2006/relationships/hyperlink" Target="http://zakon0.rada.gov.ua/laws/show/869-2011-%D0%BF/paran780" TargetMode="External"/><Relationship Id="rId27" Type="http://schemas.openxmlformats.org/officeDocument/2006/relationships/hyperlink" Target="http://zakon0.rada.gov.ua/laws/show/869-2011-%D0%BF/paran46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6371</Words>
  <Characters>3633</Characters>
  <Application>Microsoft Office Word</Application>
  <DocSecurity>0</DocSecurity>
  <Lines>30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2018-07-24T11:08:00Z</dcterms:created>
  <dcterms:modified xsi:type="dcterms:W3CDTF">2018-07-24T11:09:00Z</dcterms:modified>
</cp:coreProperties>
</file>